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KAP</w:t>
      </w:r>
    </w:p>
    <w:p>
      <w:pPr>
        <w:pStyle w:val="BodyText"/>
      </w:pPr>
      <w:r>
        <w:rPr>
          <w:bCs/>
          <w:b/>
        </w:rPr>
        <w:t xml:space="preserve">Italiano per il lavoro</w:t>
      </w:r>
    </w:p>
    <w:p>
      <w:pPr>
        <w:pStyle w:val="BodyText"/>
      </w:pPr>
      <w:r>
        <w:rPr>
          <w:bCs/>
          <w:b/>
        </w:rPr>
        <w:t xml:space="preserve">Specifica d’Esame di Certificazione di Italiano L2</w:t>
      </w:r>
    </w:p>
    <w:p>
      <w:pPr>
        <w:pStyle w:val="BodyText"/>
      </w:pPr>
      <w:r>
        <w:t xml:space="preserve">Quadro di riferimento, struttura, valutazione e procedura · Livelli QCER A1–C1</w:t>
      </w:r>
    </w:p>
    <w:p>
      <w:pPr>
        <w:pStyle w:val="BodyText"/>
      </w:pPr>
      <w:r>
        <w:rPr>
          <w:iCs/>
          <w:i/>
        </w:rPr>
        <w:t xml:space="preserve">Documento di specifica · Versione 1.0 · Bozza di lavoro</w:t>
      </w:r>
    </w:p>
    <w:p>
      <w:pPr>
        <w:pStyle w:val="BodyText"/>
      </w:pPr>
      <w:r>
        <w:t xml:space="preserve">Ente erogatore e certificatore: KAP — autorizzazione del Ministero dell’Istruzione della Repubblica d’Albania n. ____ del</w:t>
      </w:r>
      <w:r>
        <w:t xml:space="preserve"> </w:t>
      </w:r>
      <w:r>
        <w:rPr>
          <w:bCs/>
          <w:b/>
        </w:rPr>
        <w:t xml:space="preserve">/</w:t>
      </w:r>
      <w:r>
        <w:t xml:space="preserve">/____</w:t>
      </w:r>
    </w:p>
    <w:bookmarkStart w:id="20" w:name="premessa-e-finalità"/>
    <w:p>
      <w:pPr>
        <w:pStyle w:val="Heading1"/>
      </w:pPr>
      <w:r>
        <w:t xml:space="preserve">1. Premessa e finalità</w:t>
      </w:r>
    </w:p>
    <w:p>
      <w:pPr>
        <w:pStyle w:val="FirstParagraph"/>
      </w:pPr>
      <w:r>
        <w:t xml:space="preserve">Questo documento definisce l’esame di certificazione della competenza in italiano come lingua seconda (L2) erogato da KAP. L’esame misura la competenza comunicativa del candidato e ne attesta il livello secondo il Quadro Comune Europeo di Riferimento per le lingue (QCER), dal livello A1 al livello C1.</w:t>
      </w:r>
    </w:p>
    <w:p>
      <w:pPr>
        <w:pStyle w:val="BodyText"/>
      </w:pPr>
      <w:r>
        <w:t xml:space="preserve">L’esame è progettato in coerenza con i materiali didattici KAP (i moduli del corso e il modulo di sicurezza sul lavoro) e ne costituisce la prova finale. La valutazione d’ingresso (test di posizionamento) indirizza ciascun candidato alla sessione d’esame del livello più adeguato.</w:t>
      </w:r>
    </w:p>
    <w:p>
      <w:pPr>
        <w:pStyle w:val="BodyText"/>
      </w:pPr>
      <w:r>
        <w:t xml:space="preserve">Destinatari: persone adulte, in particolare aspiranti tirocinanti e lavoratori migranti, che apprendono l’italiano per scopi di vita quotidiana e professionale.</w:t>
      </w:r>
    </w:p>
    <w:bookmarkEnd w:id="20"/>
    <w:bookmarkStart w:id="21" w:name="principi-e-quadro-di-riferimento"/>
    <w:p>
      <w:pPr>
        <w:pStyle w:val="Heading1"/>
      </w:pPr>
      <w:r>
        <w:t xml:space="preserve">2. Principi e quadro di riferimento</w:t>
      </w:r>
    </w:p>
    <w:p>
      <w:pPr>
        <w:pStyle w:val="FirstParagraph"/>
      </w:pPr>
      <w:r>
        <w:t xml:space="preserve">L’esame si fonda sui principi internazionali della valutazione linguistica:</w:t>
      </w:r>
    </w:p>
    <w:p>
      <w:pPr>
        <w:numPr>
          <w:ilvl w:val="0"/>
          <w:numId w:val="1001"/>
        </w:numPr>
      </w:pPr>
      <w:r>
        <w:t xml:space="preserve">Validità: ogni prova misura davvero l’abilità dichiarata, con compiti realistici e situazioni autentiche di vita e lavoro.</w:t>
      </w:r>
    </w:p>
    <w:p>
      <w:pPr>
        <w:numPr>
          <w:ilvl w:val="0"/>
          <w:numId w:val="1001"/>
        </w:numPr>
      </w:pPr>
      <w:r>
        <w:t xml:space="preserve">Affidabilità: criteri e procedure di correzione costanti, indipendenti dal singolo esaminatore; doppia correzione per le prove produttive.</w:t>
      </w:r>
    </w:p>
    <w:p>
      <w:pPr>
        <w:numPr>
          <w:ilvl w:val="0"/>
          <w:numId w:val="1001"/>
        </w:numPr>
      </w:pPr>
      <w:r>
        <w:t xml:space="preserve">Equità e trasparenza: criteri pubblici e noti ai candidati; assenza di bias culturali o linguistici; pari condizioni per tutti.</w:t>
      </w:r>
    </w:p>
    <w:p>
      <w:pPr>
        <w:numPr>
          <w:ilvl w:val="0"/>
          <w:numId w:val="1001"/>
        </w:numPr>
      </w:pPr>
      <w:r>
        <w:t xml:space="preserve">Allineamento al QCER: livelli, descrittori e soglie ancorati alle scale del Quadro europeo tramite procedura di standard-setting (vedi §11).</w:t>
      </w:r>
    </w:p>
    <w:bookmarkEnd w:id="21"/>
    <w:bookmarkStart w:id="22" w:name="Xec5d37c432b7c02a5252541f6e3a018714f8344"/>
    <w:p>
      <w:pPr>
        <w:pStyle w:val="Heading1"/>
      </w:pPr>
      <w:r>
        <w:t xml:space="preserve">3. Validità e riconoscimento del certificato</w:t>
      </w:r>
    </w:p>
    <w:p>
      <w:pPr>
        <w:pStyle w:val="FirstParagraph"/>
      </w:pPr>
      <w:r>
        <w:t xml:space="preserve">L’autorizzazione del Ministero dell’Istruzione della Repubblica d’Albania abilita KAP a erogare i corsi e a rilasciare una certificazione ufficiale, riconosciuta in Albania. KAP opera nella formazione linguistica da circa sei anni e, sulla base dell’esperienza maturata, la propria certificazione è progressivamente accettata anche da organi istituzionali italiani.</w:t>
      </w:r>
    </w:p>
    <w:p>
      <w:pPr>
        <w:pStyle w:val="BodyText"/>
      </w:pPr>
      <w:r>
        <w:t xml:space="preserve">Per gli usi ufficiali transfrontalieri più formali — in casi limite, ad esempio la domanda di cittadinanza — il certificato viene reso valido all’estero tramite apostille apposta in Albania ai sensi della Convenzione dell’Aja del 5 ottobre 1961, di cui Albania e Italia sono parti. L’apostille autentica l’origine e la firma del documento e ne consente l’uso presso le autorità dell’altro Stato senza ulteriori legalizzazioni.</w:t>
      </w:r>
    </w:p>
    <w:p>
      <w:pPr>
        <w:pStyle w:val="BodyText"/>
      </w:pPr>
      <w:r>
        <w:rPr>
          <w:bCs/>
          <w:b/>
        </w:rPr>
        <w:t xml:space="preserve">In pratica.</w:t>
      </w:r>
      <w:r>
        <w:rPr>
          <w:bCs/>
          <w:b/>
        </w:rPr>
        <w:t xml:space="preserve"> </w:t>
      </w:r>
      <w:r>
        <w:t xml:space="preserve">KAP verifica e comunica al candidato, per ciascun uso previsto, la procedura applicabile: impiego diretto del certificato oppure, nei casi che lo richiedono, impiego previa apostille. Questo documento definisce la qualità e la struttura tecnica dell’esame, che è il presupposto su cui poggia il riconoscimento del certificato.</w:t>
      </w:r>
    </w:p>
    <w:bookmarkEnd w:id="22"/>
    <w:bookmarkStart w:id="23" w:name="architettura-generale-dellesame"/>
    <w:p>
      <w:pPr>
        <w:pStyle w:val="Heading1"/>
      </w:pPr>
      <w:r>
        <w:t xml:space="preserve">4. Architettura generale dell’esame</w:t>
      </w:r>
    </w:p>
    <w:p>
      <w:pPr>
        <w:pStyle w:val="FirstParagraph"/>
      </w:pPr>
      <w:r>
        <w:t xml:space="preserve">Ogni esame, a tutti i livelli, valuta cinque componenti. Le prime tre sono a correzione oggettiva (automatizzabile); le ultime due sono a correzione esperta con griglia analitica.</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rPr>
                <w:bCs/>
                <w:b/>
              </w:rPr>
              <w:t xml:space="preserve">Componente</w:t>
            </w:r>
          </w:p>
        </w:tc>
        <w:tc>
          <w:tcPr/>
          <w:p>
            <w:pPr>
              <w:pStyle w:val="Compact"/>
              <w:jc w:val="left"/>
            </w:pPr>
            <w:r>
              <w:rPr>
                <w:bCs/>
                <w:b/>
              </w:rPr>
              <w:t xml:space="preserve">Cosa misura</w:t>
            </w:r>
          </w:p>
        </w:tc>
        <w:tc>
          <w:tcPr/>
          <w:p>
            <w:pPr>
              <w:pStyle w:val="Compact"/>
              <w:jc w:val="left"/>
            </w:pPr>
            <w:r>
              <w:rPr>
                <w:bCs/>
                <w:b/>
              </w:rPr>
              <w:t xml:space="preserve">Punti /100</w:t>
            </w:r>
          </w:p>
        </w:tc>
      </w:tr>
      <w:tr>
        <w:tc>
          <w:tcPr/>
          <w:p>
            <w:pPr>
              <w:pStyle w:val="Compact"/>
              <w:jc w:val="left"/>
            </w:pPr>
            <w:r>
              <w:t xml:space="preserve">Ascolto</w:t>
            </w:r>
          </w:p>
        </w:tc>
        <w:tc>
          <w:tcPr/>
          <w:p>
            <w:pPr>
              <w:pStyle w:val="Compact"/>
              <w:jc w:val="left"/>
            </w:pPr>
            <w:r>
              <w:t xml:space="preserve">Comprensione orale (dialoghi e messaggi sul modello dei materiali KAP)</w:t>
            </w:r>
          </w:p>
        </w:tc>
        <w:tc>
          <w:tcPr/>
          <w:p>
            <w:pPr>
              <w:pStyle w:val="Compact"/>
              <w:jc w:val="left"/>
            </w:pPr>
            <w:r>
              <w:t xml:space="preserve">20</w:t>
            </w:r>
          </w:p>
        </w:tc>
      </w:tr>
      <w:tr>
        <w:tc>
          <w:tcPr/>
          <w:p>
            <w:pPr>
              <w:pStyle w:val="Compact"/>
              <w:jc w:val="left"/>
            </w:pPr>
            <w:r>
              <w:t xml:space="preserve">Lettura</w:t>
            </w:r>
          </w:p>
        </w:tc>
        <w:tc>
          <w:tcPr/>
          <w:p>
            <w:pPr>
              <w:pStyle w:val="Compact"/>
              <w:jc w:val="left"/>
            </w:pPr>
            <w:r>
              <w:t xml:space="preserve">Comprensione scritta (annunci, avvisi, testi informativi, email)</w:t>
            </w:r>
          </w:p>
        </w:tc>
        <w:tc>
          <w:tcPr/>
          <w:p>
            <w:pPr>
              <w:pStyle w:val="Compact"/>
              <w:jc w:val="left"/>
            </w:pPr>
            <w:r>
              <w:t xml:space="preserve">20</w:t>
            </w:r>
          </w:p>
        </w:tc>
      </w:tr>
      <w:tr>
        <w:tc>
          <w:tcPr/>
          <w:p>
            <w:pPr>
              <w:pStyle w:val="Compact"/>
              <w:jc w:val="left"/>
            </w:pPr>
            <w:r>
              <w:t xml:space="preserve">Uso della lingua</w:t>
            </w:r>
          </w:p>
        </w:tc>
        <w:tc>
          <w:tcPr/>
          <w:p>
            <w:pPr>
              <w:pStyle w:val="Compact"/>
              <w:jc w:val="left"/>
            </w:pPr>
            <w:r>
              <w:t xml:space="preserve">Strutture e lessico (cloze, scelta multipla, abbinamenti)</w:t>
            </w:r>
          </w:p>
        </w:tc>
        <w:tc>
          <w:tcPr/>
          <w:p>
            <w:pPr>
              <w:pStyle w:val="Compact"/>
              <w:jc w:val="left"/>
            </w:pPr>
            <w:r>
              <w:t xml:space="preserve">15</w:t>
            </w:r>
          </w:p>
        </w:tc>
      </w:tr>
      <w:tr>
        <w:tc>
          <w:tcPr/>
          <w:p>
            <w:pPr>
              <w:pStyle w:val="Compact"/>
              <w:jc w:val="left"/>
            </w:pPr>
            <w:r>
              <w:t xml:space="preserve">Produzione scritta</w:t>
            </w:r>
          </w:p>
        </w:tc>
        <w:tc>
          <w:tcPr/>
          <w:p>
            <w:pPr>
              <w:pStyle w:val="Compact"/>
              <w:jc w:val="left"/>
            </w:pPr>
            <w:r>
              <w:t xml:space="preserve">Scrivere testi adeguati al compito e al livello</w:t>
            </w:r>
          </w:p>
        </w:tc>
        <w:tc>
          <w:tcPr/>
          <w:p>
            <w:pPr>
              <w:pStyle w:val="Compact"/>
              <w:jc w:val="left"/>
            </w:pPr>
            <w:r>
              <w:t xml:space="preserve">20</w:t>
            </w:r>
          </w:p>
        </w:tc>
      </w:tr>
      <w:tr>
        <w:tc>
          <w:tcPr/>
          <w:p>
            <w:pPr>
              <w:pStyle w:val="Compact"/>
              <w:jc w:val="left"/>
            </w:pPr>
            <w:r>
              <w:t xml:space="preserve">Produzione e interazione orale</w:t>
            </w:r>
          </w:p>
        </w:tc>
        <w:tc>
          <w:tcPr/>
          <w:p>
            <w:pPr>
              <w:pStyle w:val="Compact"/>
              <w:jc w:val="left"/>
            </w:pPr>
            <w:r>
              <w:t xml:space="preserve">Parlare e interagire in situazioni reali</w:t>
            </w:r>
          </w:p>
        </w:tc>
        <w:tc>
          <w:tcPr/>
          <w:p>
            <w:pPr>
              <w:pStyle w:val="Compact"/>
              <w:jc w:val="left"/>
            </w:pPr>
            <w:r>
              <w:t xml:space="preserve">25</w:t>
            </w:r>
          </w:p>
        </w:tc>
      </w:tr>
      <w:tr>
        <w:tc>
          <w:tcPr/>
          <w:p>
            <w:pPr>
              <w:pStyle w:val="Compact"/>
              <w:jc w:val="left"/>
            </w:pPr>
            <w:r>
              <w:t xml:space="preserve">Totale</w:t>
            </w:r>
          </w:p>
        </w:tc>
        <w:tc>
          <w:tcPr/>
          <w:p>
            <w:pPr>
              <w:pStyle w:val="Compact"/>
            </w:pPr>
          </w:p>
        </w:tc>
        <w:tc>
          <w:tcPr/>
          <w:p>
            <w:pPr>
              <w:pStyle w:val="Compact"/>
              <w:jc w:val="left"/>
            </w:pPr>
            <w:r>
              <w:t xml:space="preserve">100</w:t>
            </w:r>
          </w:p>
        </w:tc>
      </w:tr>
    </w:tbl>
    <w:p>
      <w:pPr>
        <w:pStyle w:val="BodyText"/>
      </w:pPr>
      <w:r>
        <w:t xml:space="preserve">Quadro sintetico per livello (durata indicativa delle prove scritte; il colloquio orale è individuale o in coppia):</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bCs/>
                <w:b/>
              </w:rPr>
              <w:t xml:space="preserve">Livello</w:t>
            </w:r>
          </w:p>
        </w:tc>
        <w:tc>
          <w:tcPr/>
          <w:p>
            <w:pPr>
              <w:pStyle w:val="Compact"/>
              <w:jc w:val="left"/>
            </w:pPr>
            <w:r>
              <w:rPr>
                <w:bCs/>
                <w:b/>
              </w:rPr>
              <w:t xml:space="preserve">Prove scritte (durata)</w:t>
            </w:r>
          </w:p>
        </w:tc>
        <w:tc>
          <w:tcPr/>
          <w:p>
            <w:pPr>
              <w:pStyle w:val="Compact"/>
              <w:jc w:val="left"/>
            </w:pPr>
            <w:r>
              <w:rPr>
                <w:bCs/>
                <w:b/>
              </w:rPr>
              <w:t xml:space="preserve">Orale (durata)</w:t>
            </w:r>
          </w:p>
        </w:tc>
        <w:tc>
          <w:tcPr/>
          <w:p>
            <w:pPr>
              <w:pStyle w:val="Compact"/>
              <w:jc w:val="left"/>
            </w:pPr>
            <w:r>
              <w:rPr>
                <w:bCs/>
                <w:b/>
              </w:rPr>
              <w:t xml:space="preserve">Soglia</w:t>
            </w:r>
          </w:p>
        </w:tc>
        <w:tc>
          <w:tcPr/>
          <w:p>
            <w:pPr>
              <w:pStyle w:val="Compact"/>
              <w:jc w:val="left"/>
            </w:pPr>
            <w:r>
              <w:rPr>
                <w:bCs/>
                <w:b/>
              </w:rPr>
              <w:t xml:space="preserve">Esiti tipici dal corso</w:t>
            </w:r>
          </w:p>
        </w:tc>
      </w:tr>
      <w:tr>
        <w:tc>
          <w:tcPr/>
          <w:p>
            <w:pPr>
              <w:pStyle w:val="Compact"/>
              <w:jc w:val="left"/>
            </w:pPr>
            <w:r>
              <w:t xml:space="preserve">A1</w:t>
            </w:r>
          </w:p>
        </w:tc>
        <w:tc>
          <w:tcPr/>
          <w:p>
            <w:pPr>
              <w:pStyle w:val="Compact"/>
              <w:jc w:val="left"/>
            </w:pPr>
            <w:r>
              <w:t xml:space="preserve">circa 80 min</w:t>
            </w:r>
          </w:p>
        </w:tc>
        <w:tc>
          <w:tcPr/>
          <w:p>
            <w:pPr>
              <w:pStyle w:val="Compact"/>
              <w:jc w:val="left"/>
            </w:pPr>
            <w:r>
              <w:t xml:space="preserve">circa 8 min</w:t>
            </w:r>
          </w:p>
        </w:tc>
        <w:tc>
          <w:tcPr/>
          <w:p>
            <w:pPr>
              <w:pStyle w:val="Compact"/>
              <w:jc w:val="left"/>
            </w:pPr>
            <w:r>
              <w:t xml:space="preserve">60/100</w:t>
            </w:r>
          </w:p>
        </w:tc>
        <w:tc>
          <w:tcPr/>
          <w:p>
            <w:pPr>
              <w:pStyle w:val="Compact"/>
              <w:jc w:val="left"/>
            </w:pPr>
            <w:r>
              <w:t xml:space="preserve">obiettivo del percorso base</w:t>
            </w:r>
          </w:p>
        </w:tc>
      </w:tr>
      <w:tr>
        <w:tc>
          <w:tcPr/>
          <w:p>
            <w:pPr>
              <w:pStyle w:val="Compact"/>
              <w:jc w:val="left"/>
            </w:pPr>
            <w:r>
              <w:t xml:space="preserve">A2</w:t>
            </w:r>
          </w:p>
        </w:tc>
        <w:tc>
          <w:tcPr/>
          <w:p>
            <w:pPr>
              <w:pStyle w:val="Compact"/>
              <w:jc w:val="left"/>
            </w:pPr>
            <w:r>
              <w:t xml:space="preserve">circa 110 min</w:t>
            </w:r>
          </w:p>
        </w:tc>
        <w:tc>
          <w:tcPr/>
          <w:p>
            <w:pPr>
              <w:pStyle w:val="Compact"/>
              <w:jc w:val="left"/>
            </w:pPr>
            <w:r>
              <w:t xml:space="preserve">circa 10 min</w:t>
            </w:r>
          </w:p>
        </w:tc>
        <w:tc>
          <w:tcPr/>
          <w:p>
            <w:pPr>
              <w:pStyle w:val="Compact"/>
              <w:jc w:val="left"/>
            </w:pPr>
            <w:r>
              <w:t xml:space="preserve">60/100</w:t>
            </w:r>
          </w:p>
        </w:tc>
        <w:tc>
          <w:tcPr/>
          <w:p>
            <w:pPr>
              <w:pStyle w:val="Compact"/>
              <w:jc w:val="left"/>
            </w:pPr>
            <w:r>
              <w:t xml:space="preserve">minimo richiesto FVG</w:t>
            </w:r>
          </w:p>
        </w:tc>
      </w:tr>
      <w:tr>
        <w:tc>
          <w:tcPr/>
          <w:p>
            <w:pPr>
              <w:pStyle w:val="Compact"/>
              <w:jc w:val="left"/>
            </w:pPr>
            <w:r>
              <w:t xml:space="preserve">B1</w:t>
            </w:r>
          </w:p>
        </w:tc>
        <w:tc>
          <w:tcPr/>
          <w:p>
            <w:pPr>
              <w:pStyle w:val="Compact"/>
              <w:jc w:val="left"/>
            </w:pPr>
            <w:r>
              <w:t xml:space="preserve">circa 140 min</w:t>
            </w:r>
          </w:p>
        </w:tc>
        <w:tc>
          <w:tcPr/>
          <w:p>
            <w:pPr>
              <w:pStyle w:val="Compact"/>
              <w:jc w:val="left"/>
            </w:pPr>
            <w:r>
              <w:t xml:space="preserve">circa 12 min</w:t>
            </w:r>
          </w:p>
        </w:tc>
        <w:tc>
          <w:tcPr/>
          <w:p>
            <w:pPr>
              <w:pStyle w:val="Compact"/>
              <w:jc w:val="left"/>
            </w:pPr>
            <w:r>
              <w:t xml:space="preserve">60/100</w:t>
            </w:r>
          </w:p>
        </w:tc>
        <w:tc>
          <w:tcPr/>
          <w:p>
            <w:pPr>
              <w:pStyle w:val="Compact"/>
              <w:jc w:val="left"/>
            </w:pPr>
            <w:r>
              <w:t xml:space="preserve">studenti più avanzati</w:t>
            </w:r>
          </w:p>
        </w:tc>
      </w:tr>
      <w:tr>
        <w:tc>
          <w:tcPr/>
          <w:p>
            <w:pPr>
              <w:pStyle w:val="Compact"/>
              <w:jc w:val="left"/>
            </w:pPr>
            <w:r>
              <w:t xml:space="preserve">B2</w:t>
            </w:r>
          </w:p>
        </w:tc>
        <w:tc>
          <w:tcPr/>
          <w:p>
            <w:pPr>
              <w:pStyle w:val="Compact"/>
              <w:jc w:val="left"/>
            </w:pPr>
            <w:r>
              <w:t xml:space="preserve">circa 170 min</w:t>
            </w:r>
          </w:p>
        </w:tc>
        <w:tc>
          <w:tcPr/>
          <w:p>
            <w:pPr>
              <w:pStyle w:val="Compact"/>
              <w:jc w:val="left"/>
            </w:pPr>
            <w:r>
              <w:t xml:space="preserve">circa 15 min</w:t>
            </w:r>
          </w:p>
        </w:tc>
        <w:tc>
          <w:tcPr/>
          <w:p>
            <w:pPr>
              <w:pStyle w:val="Compact"/>
              <w:jc w:val="left"/>
            </w:pPr>
            <w:r>
              <w:t xml:space="preserve">60/100</w:t>
            </w:r>
          </w:p>
        </w:tc>
        <w:tc>
          <w:tcPr/>
          <w:p>
            <w:pPr>
              <w:pStyle w:val="Compact"/>
              <w:jc w:val="left"/>
            </w:pPr>
            <w:r>
              <w:t xml:space="preserve">studenti avanzati</w:t>
            </w:r>
          </w:p>
        </w:tc>
      </w:tr>
      <w:tr>
        <w:tc>
          <w:tcPr/>
          <w:p>
            <w:pPr>
              <w:pStyle w:val="Compact"/>
              <w:jc w:val="left"/>
            </w:pPr>
            <w:r>
              <w:t xml:space="preserve">C1</w:t>
            </w:r>
          </w:p>
        </w:tc>
        <w:tc>
          <w:tcPr/>
          <w:p>
            <w:pPr>
              <w:pStyle w:val="Compact"/>
              <w:jc w:val="left"/>
            </w:pPr>
            <w:r>
              <w:t xml:space="preserve">circa 200 min</w:t>
            </w:r>
          </w:p>
        </w:tc>
        <w:tc>
          <w:tcPr/>
          <w:p>
            <w:pPr>
              <w:pStyle w:val="Compact"/>
              <w:jc w:val="left"/>
            </w:pPr>
            <w:r>
              <w:t xml:space="preserve">circa 18–20 min</w:t>
            </w:r>
          </w:p>
        </w:tc>
        <w:tc>
          <w:tcPr/>
          <w:p>
            <w:pPr>
              <w:pStyle w:val="Compact"/>
              <w:jc w:val="left"/>
            </w:pPr>
            <w:r>
              <w:t xml:space="preserve">60/100</w:t>
            </w:r>
          </w:p>
        </w:tc>
        <w:tc>
          <w:tcPr/>
          <w:p>
            <w:pPr>
              <w:pStyle w:val="Compact"/>
              <w:jc w:val="left"/>
            </w:pPr>
            <w:r>
              <w:t xml:space="preserve">percorso di perfezionamento</w:t>
            </w:r>
          </w:p>
        </w:tc>
      </w:tr>
    </w:tbl>
    <w:bookmarkEnd w:id="23"/>
    <w:bookmarkStart w:id="25" w:name="specifiche-delle-prove-per-livello"/>
    <w:p>
      <w:pPr>
        <w:pStyle w:val="Heading1"/>
      </w:pPr>
      <w:r>
        <w:t xml:space="preserve">5. Specifiche delle prove per livello</w:t>
      </w:r>
    </w:p>
    <w:p>
      <w:pPr>
        <w:pStyle w:val="FirstParagraph"/>
      </w:pPr>
      <w:r>
        <w:t xml:space="preserve">Le tipologie d’item crescono in complessità con il livello, ma restano coerenti con quelle praticate nei moduli KAP, così che l’esame sia trasparente e</w:t>
      </w:r>
      <w:r>
        <w:t xml:space="preserve"> </w:t>
      </w:r>
      <w:r>
        <w:t xml:space="preserve">“</w:t>
      </w:r>
      <w:r>
        <w:t xml:space="preserve">riconoscibile</w:t>
      </w:r>
      <w:r>
        <w:t xml:space="preserve">”</w:t>
      </w:r>
      <w:r>
        <w:t xml:space="preserve"> </w:t>
      </w:r>
      <w:r>
        <w:t xml:space="preserve">dal candidato.</w:t>
      </w:r>
    </w:p>
    <w:bookmarkStart w:id="24" w:name="Xe072867e5565031dbf8e7ce8d961d7cddc622f6"/>
    <w:p>
      <w:pPr>
        <w:pStyle w:val="Heading2"/>
      </w:pPr>
      <w:r>
        <w:t xml:space="preserve">Livello A2 (specifica dettagliata — livello chiave)</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bCs/>
                <w:b/>
              </w:rPr>
              <w:t xml:space="preserve">Componente</w:t>
            </w:r>
          </w:p>
        </w:tc>
        <w:tc>
          <w:tcPr/>
          <w:p>
            <w:pPr>
              <w:pStyle w:val="Compact"/>
              <w:jc w:val="left"/>
            </w:pPr>
            <w:r>
              <w:rPr>
                <w:bCs/>
                <w:b/>
              </w:rPr>
              <w:t xml:space="preserve">Compiti</w:t>
            </w:r>
          </w:p>
        </w:tc>
        <w:tc>
          <w:tcPr/>
          <w:p>
            <w:pPr>
              <w:pStyle w:val="Compact"/>
              <w:jc w:val="left"/>
            </w:pPr>
            <w:r>
              <w:rPr>
                <w:bCs/>
                <w:b/>
              </w:rPr>
              <w:t xml:space="preserve">N. item</w:t>
            </w:r>
          </w:p>
        </w:tc>
        <w:tc>
          <w:tcPr/>
          <w:p>
            <w:pPr>
              <w:pStyle w:val="Compact"/>
              <w:jc w:val="left"/>
            </w:pPr>
            <w:r>
              <w:rPr>
                <w:bCs/>
                <w:b/>
              </w:rPr>
              <w:t xml:space="preserve">Punti</w:t>
            </w:r>
          </w:p>
        </w:tc>
      </w:tr>
      <w:tr>
        <w:tc>
          <w:tcPr/>
          <w:p>
            <w:pPr>
              <w:pStyle w:val="Compact"/>
              <w:jc w:val="left"/>
            </w:pPr>
            <w:r>
              <w:t xml:space="preserve">Ascolto</w:t>
            </w:r>
          </w:p>
        </w:tc>
        <w:tc>
          <w:tcPr/>
          <w:p>
            <w:pPr>
              <w:pStyle w:val="Compact"/>
              <w:jc w:val="left"/>
            </w:pPr>
            <w:r>
              <w:t xml:space="preserve">2 dialoghi brevi (lavoro/vita quotidiana): scelta multipla e vero/falso</w:t>
            </w:r>
          </w:p>
        </w:tc>
        <w:tc>
          <w:tcPr/>
          <w:p>
            <w:pPr>
              <w:pStyle w:val="Compact"/>
              <w:jc w:val="left"/>
            </w:pPr>
            <w:r>
              <w:t xml:space="preserve">10</w:t>
            </w:r>
          </w:p>
        </w:tc>
        <w:tc>
          <w:tcPr/>
          <w:p>
            <w:pPr>
              <w:pStyle w:val="Compact"/>
              <w:jc w:val="left"/>
            </w:pPr>
            <w:r>
              <w:t xml:space="preserve">20</w:t>
            </w:r>
          </w:p>
        </w:tc>
      </w:tr>
      <w:tr>
        <w:tc>
          <w:tcPr/>
          <w:p>
            <w:pPr>
              <w:pStyle w:val="Compact"/>
              <w:jc w:val="left"/>
            </w:pPr>
            <w:r>
              <w:t xml:space="preserve">Lettura</w:t>
            </w:r>
          </w:p>
        </w:tc>
        <w:tc>
          <w:tcPr/>
          <w:p>
            <w:pPr>
              <w:pStyle w:val="Compact"/>
              <w:jc w:val="left"/>
            </w:pPr>
            <w:r>
              <w:t xml:space="preserve">Annuncio di lavoro + avviso/foglio informativo: scelta multipla e abbinamento</w:t>
            </w:r>
          </w:p>
        </w:tc>
        <w:tc>
          <w:tcPr/>
          <w:p>
            <w:pPr>
              <w:pStyle w:val="Compact"/>
              <w:jc w:val="left"/>
            </w:pPr>
            <w:r>
              <w:t xml:space="preserve">10</w:t>
            </w:r>
          </w:p>
        </w:tc>
        <w:tc>
          <w:tcPr/>
          <w:p>
            <w:pPr>
              <w:pStyle w:val="Compact"/>
              <w:jc w:val="left"/>
            </w:pPr>
            <w:r>
              <w:t xml:space="preserve">20</w:t>
            </w:r>
          </w:p>
        </w:tc>
      </w:tr>
      <w:tr>
        <w:tc>
          <w:tcPr/>
          <w:p>
            <w:pPr>
              <w:pStyle w:val="Compact"/>
              <w:jc w:val="left"/>
            </w:pPr>
            <w:r>
              <w:t xml:space="preserve">Uso della lingua</w:t>
            </w:r>
          </w:p>
        </w:tc>
        <w:tc>
          <w:tcPr/>
          <w:p>
            <w:pPr>
              <w:pStyle w:val="Compact"/>
              <w:jc w:val="left"/>
            </w:pPr>
            <w:r>
              <w:t xml:space="preserve">Cloze guidato e scelta multipla (presente, passato prossimo, pronomi)</w:t>
            </w:r>
          </w:p>
        </w:tc>
        <w:tc>
          <w:tcPr/>
          <w:p>
            <w:pPr>
              <w:pStyle w:val="Compact"/>
              <w:jc w:val="left"/>
            </w:pPr>
            <w:r>
              <w:t xml:space="preserve">15</w:t>
            </w:r>
          </w:p>
        </w:tc>
        <w:tc>
          <w:tcPr/>
          <w:p>
            <w:pPr>
              <w:pStyle w:val="Compact"/>
              <w:jc w:val="left"/>
            </w:pPr>
            <w:r>
              <w:t xml:space="preserve">15</w:t>
            </w:r>
          </w:p>
        </w:tc>
      </w:tr>
      <w:tr>
        <w:tc>
          <w:tcPr/>
          <w:p>
            <w:pPr>
              <w:pStyle w:val="Compact"/>
              <w:jc w:val="left"/>
            </w:pPr>
            <w:r>
              <w:t xml:space="preserve">Produzione scritta</w:t>
            </w:r>
          </w:p>
        </w:tc>
        <w:tc>
          <w:tcPr/>
          <w:p>
            <w:pPr>
              <w:pStyle w:val="Compact"/>
              <w:jc w:val="left"/>
            </w:pPr>
            <w:r>
              <w:t xml:space="preserve">1) compilare un modulo con dati anagrafici; 2) breve messaggio (30–40 parole)</w:t>
            </w:r>
          </w:p>
        </w:tc>
        <w:tc>
          <w:tcPr/>
          <w:p>
            <w:pPr>
              <w:pStyle w:val="Compact"/>
              <w:jc w:val="left"/>
            </w:pPr>
            <w:r>
              <w:t xml:space="preserve">2 compiti</w:t>
            </w:r>
          </w:p>
        </w:tc>
        <w:tc>
          <w:tcPr/>
          <w:p>
            <w:pPr>
              <w:pStyle w:val="Compact"/>
              <w:jc w:val="left"/>
            </w:pPr>
            <w:r>
              <w:t xml:space="preserve">20</w:t>
            </w:r>
          </w:p>
        </w:tc>
      </w:tr>
      <w:tr>
        <w:tc>
          <w:tcPr/>
          <w:p>
            <w:pPr>
              <w:pStyle w:val="Compact"/>
              <w:jc w:val="left"/>
            </w:pPr>
            <w:r>
              <w:t xml:space="preserve">Produzione orale</w:t>
            </w:r>
          </w:p>
        </w:tc>
        <w:tc>
          <w:tcPr/>
          <w:p>
            <w:pPr>
              <w:pStyle w:val="Compact"/>
              <w:jc w:val="left"/>
            </w:pPr>
            <w:r>
              <w:t xml:space="preserve">Presentarsi + intervista guidata + role-play (al lavoro / al colloquio)</w:t>
            </w:r>
          </w:p>
        </w:tc>
        <w:tc>
          <w:tcPr/>
          <w:p>
            <w:pPr>
              <w:pStyle w:val="Compact"/>
              <w:jc w:val="left"/>
            </w:pPr>
            <w:r>
              <w:t xml:space="preserve">3 fasi</w:t>
            </w:r>
          </w:p>
        </w:tc>
        <w:tc>
          <w:tcPr/>
          <w:p>
            <w:pPr>
              <w:pStyle w:val="Compact"/>
              <w:jc w:val="left"/>
            </w:pPr>
            <w:r>
              <w:t xml:space="preserve">25</w:t>
            </w:r>
          </w:p>
        </w:tc>
      </w:tr>
    </w:tbl>
    <w:p>
      <w:pPr>
        <w:pStyle w:val="BodyText"/>
      </w:pPr>
      <w:r>
        <w:t xml:space="preserve">Per gli altri livelli valgono le stesse cinque componenti e gli stessi pesi, con compiti scalati:</w:t>
      </w:r>
    </w:p>
    <w:p>
      <w:pPr>
        <w:numPr>
          <w:ilvl w:val="0"/>
          <w:numId w:val="1002"/>
        </w:numPr>
      </w:pPr>
      <w:r>
        <w:t xml:space="preserve">A1 — Scritto: scrivere parole/dati personali e una frase guidata. Orale: salutare, presentarsi, rispondere a domande personali semplici.</w:t>
      </w:r>
    </w:p>
    <w:p>
      <w:pPr>
        <w:numPr>
          <w:ilvl w:val="0"/>
          <w:numId w:val="1002"/>
        </w:numPr>
      </w:pPr>
      <w:r>
        <w:t xml:space="preserve">B1 — Scritto: email/lettera informale di 80–100 parole. Orale: descrizione/monologo + interazione su esperienze e progetti. Uso lingua: imperfetto vs passato prossimo, futuro, condizionale, congiuntivo di base.</w:t>
      </w:r>
    </w:p>
    <w:p>
      <w:pPr>
        <w:numPr>
          <w:ilvl w:val="0"/>
          <w:numId w:val="1002"/>
        </w:numPr>
      </w:pPr>
      <w:r>
        <w:t xml:space="preserve">B2 — Scritto: testo argomentativo di 150–180 parole. Orale: esposizione di un punto di vista + discussione. Uso lingua: periodo ipotetico, congiuntivo, connettivi complessi.</w:t>
      </w:r>
    </w:p>
    <w:p>
      <w:pPr>
        <w:numPr>
          <w:ilvl w:val="0"/>
          <w:numId w:val="1002"/>
        </w:numPr>
      </w:pPr>
      <w:r>
        <w:t xml:space="preserve">C1 — Scritto: testo articolato di 220–250 parole su tema astratto/professionale. Orale: esposizione argomentata + interazione su temi complessi. Uso lingua: registri, modi di dire, strutture marcate.</w:t>
      </w:r>
    </w:p>
    <w:bookmarkEnd w:id="24"/>
    <w:bookmarkEnd w:id="25"/>
    <w:bookmarkStart w:id="26" w:name="X178c637f5172939470a302ddaab6b5cef671ee3"/>
    <w:p>
      <w:pPr>
        <w:pStyle w:val="Heading1"/>
      </w:pPr>
      <w:r>
        <w:t xml:space="preserve">6. Collegamento con i moduli KAP e banca item</w:t>
      </w:r>
    </w:p>
    <w:p>
      <w:pPr>
        <w:pStyle w:val="FirstParagraph"/>
      </w:pPr>
      <w:r>
        <w:t xml:space="preserve">Gli item d’esame sono originali, ma attingono alle stesse famiglie di situazioni dei moduli, garantendo allineamento tra ciò che si insegna e ciò che si valuta (validità di contenuto):</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rPr>
                <w:bCs/>
                <w:b/>
              </w:rPr>
              <w:t xml:space="preserve">Componente d’esame</w:t>
            </w:r>
          </w:p>
        </w:tc>
        <w:tc>
          <w:tcPr/>
          <w:p>
            <w:pPr>
              <w:pStyle w:val="Compact"/>
              <w:jc w:val="left"/>
            </w:pPr>
            <w:r>
              <w:rPr>
                <w:bCs/>
                <w:b/>
              </w:rPr>
              <w:t xml:space="preserve">Fonte/modello nei moduli KAP</w:t>
            </w:r>
          </w:p>
        </w:tc>
        <w:tc>
          <w:tcPr/>
          <w:p>
            <w:pPr>
              <w:pStyle w:val="Compact"/>
              <w:jc w:val="left"/>
            </w:pPr>
            <w:r>
              <w:rPr>
                <w:bCs/>
                <w:b/>
              </w:rPr>
              <w:t xml:space="preserve">Esempi di situazione</w:t>
            </w:r>
          </w:p>
        </w:tc>
      </w:tr>
      <w:tr>
        <w:tc>
          <w:tcPr/>
          <w:p>
            <w:pPr>
              <w:pStyle w:val="Compact"/>
              <w:jc w:val="left"/>
            </w:pPr>
            <w:r>
              <w:t xml:space="preserve">Ascolto</w:t>
            </w:r>
          </w:p>
        </w:tc>
        <w:tc>
          <w:tcPr/>
          <w:p>
            <w:pPr>
              <w:pStyle w:val="Compact"/>
              <w:jc w:val="left"/>
            </w:pPr>
            <w:r>
              <w:t xml:space="preserve">Dialoghi situazionali dei moduli</w:t>
            </w:r>
          </w:p>
        </w:tc>
        <w:tc>
          <w:tcPr/>
          <w:p>
            <w:pPr>
              <w:pStyle w:val="Compact"/>
              <w:jc w:val="left"/>
            </w:pPr>
            <w:r>
              <w:t xml:space="preserve">colloquio, ufficio, farmacia, sportello</w:t>
            </w:r>
          </w:p>
        </w:tc>
      </w:tr>
      <w:tr>
        <w:tc>
          <w:tcPr/>
          <w:p>
            <w:pPr>
              <w:pStyle w:val="Compact"/>
              <w:jc w:val="left"/>
            </w:pPr>
            <w:r>
              <w:t xml:space="preserve">Lettura</w:t>
            </w:r>
          </w:p>
        </w:tc>
        <w:tc>
          <w:tcPr/>
          <w:p>
            <w:pPr>
              <w:pStyle w:val="Compact"/>
              <w:jc w:val="left"/>
            </w:pPr>
            <w:r>
              <w:t xml:space="preserve">Testi</w:t>
            </w:r>
            <w:r>
              <w:t xml:space="preserve"> </w:t>
            </w:r>
            <w:r>
              <w:t xml:space="preserve">“</w:t>
            </w:r>
            <w:r>
              <w:t xml:space="preserve">In Italia…</w:t>
            </w:r>
            <w:r>
              <w:t xml:space="preserve">”</w:t>
            </w:r>
            <w:r>
              <w:t xml:space="preserve"> </w:t>
            </w:r>
            <w:r>
              <w:t xml:space="preserve">e documenti di lavoro</w:t>
            </w:r>
          </w:p>
        </w:tc>
        <w:tc>
          <w:tcPr/>
          <w:p>
            <w:pPr>
              <w:pStyle w:val="Compact"/>
              <w:jc w:val="left"/>
            </w:pPr>
            <w:r>
              <w:t xml:space="preserve">annuncio di lavoro, avviso, foglio informativo</w:t>
            </w:r>
          </w:p>
        </w:tc>
      </w:tr>
      <w:tr>
        <w:tc>
          <w:tcPr/>
          <w:p>
            <w:pPr>
              <w:pStyle w:val="Compact"/>
              <w:jc w:val="left"/>
            </w:pPr>
            <w:r>
              <w:t xml:space="preserve">Uso della lingua</w:t>
            </w:r>
          </w:p>
        </w:tc>
        <w:tc>
          <w:tcPr/>
          <w:p>
            <w:pPr>
              <w:pStyle w:val="Compact"/>
              <w:jc w:val="left"/>
            </w:pPr>
            <w:r>
              <w:t xml:space="preserve">Esercizi di grammatica e cloze dei moduli</w:t>
            </w:r>
          </w:p>
        </w:tc>
        <w:tc>
          <w:tcPr/>
          <w:p>
            <w:pPr>
              <w:pStyle w:val="Compact"/>
              <w:jc w:val="left"/>
            </w:pPr>
            <w:r>
              <w:t xml:space="preserve">presente, passato, pronomi, condizionale</w:t>
            </w:r>
          </w:p>
        </w:tc>
      </w:tr>
      <w:tr>
        <w:tc>
          <w:tcPr/>
          <w:p>
            <w:pPr>
              <w:pStyle w:val="Compact"/>
              <w:jc w:val="left"/>
            </w:pPr>
            <w:r>
              <w:t xml:space="preserve">Produzione scritta</w:t>
            </w:r>
          </w:p>
        </w:tc>
        <w:tc>
          <w:tcPr/>
          <w:p>
            <w:pPr>
              <w:pStyle w:val="Compact"/>
              <w:jc w:val="left"/>
            </w:pPr>
            <w:r>
              <w:t xml:space="preserve">Compiti di scrittura guidata dei moduli</w:t>
            </w:r>
          </w:p>
        </w:tc>
        <w:tc>
          <w:tcPr/>
          <w:p>
            <w:pPr>
              <w:pStyle w:val="Compact"/>
              <w:jc w:val="left"/>
            </w:pPr>
            <w:r>
              <w:t xml:space="preserve">modulo, CV, messaggio, email</w:t>
            </w:r>
          </w:p>
        </w:tc>
      </w:tr>
      <w:tr>
        <w:tc>
          <w:tcPr/>
          <w:p>
            <w:pPr>
              <w:pStyle w:val="Compact"/>
              <w:jc w:val="left"/>
            </w:pPr>
            <w:r>
              <w:t xml:space="preserve">Produzione orale</w:t>
            </w:r>
          </w:p>
        </w:tc>
        <w:tc>
          <w:tcPr/>
          <w:p>
            <w:pPr>
              <w:pStyle w:val="Compact"/>
              <w:jc w:val="left"/>
            </w:pPr>
            <w:r>
              <w:t xml:space="preserve">Atti comunicativi e dialoghi aperti</w:t>
            </w:r>
          </w:p>
        </w:tc>
        <w:tc>
          <w:tcPr/>
          <w:p>
            <w:pPr>
              <w:pStyle w:val="Compact"/>
              <w:jc w:val="left"/>
            </w:pPr>
            <w:r>
              <w:t xml:space="preserve">presentarsi, chiedere, proporre, scusarsi</w:t>
            </w:r>
          </w:p>
        </w:tc>
      </w:tr>
    </w:tbl>
    <w:p>
      <w:pPr>
        <w:pStyle w:val="BodyText"/>
      </w:pPr>
      <w:r>
        <w:t xml:space="preserve">La banca item è organizzata per livello e per componente, con item più numerosi del necessario per generare versioni equivalenti dell’esame ed evitare la prevedibilità. Ogni item registra: livello, componente, tipologia, risposta corretta, indici statistici (vedi §11).</w:t>
      </w:r>
    </w:p>
    <w:bookmarkEnd w:id="26"/>
    <w:bookmarkStart w:id="27" w:name="X1619bc44cd916a839f5acf3b8a7ffe8e8ae2526"/>
    <w:p>
      <w:pPr>
        <w:pStyle w:val="Heading1"/>
      </w:pPr>
      <w:r>
        <w:t xml:space="preserve">7. Soglie di superamento e attribuzione del livello</w:t>
      </w:r>
    </w:p>
    <w:p>
      <w:pPr>
        <w:pStyle w:val="FirstParagraph"/>
      </w:pPr>
      <w:r>
        <w:t xml:space="preserve">L’esame di un livello si considera superato quando il candidato ottiene:</w:t>
      </w:r>
    </w:p>
    <w:p>
      <w:pPr>
        <w:numPr>
          <w:ilvl w:val="0"/>
          <w:numId w:val="1003"/>
        </w:numPr>
      </w:pPr>
      <w:r>
        <w:t xml:space="preserve">almeno 60 punti su 100 nel punteggio totale, e</w:t>
      </w:r>
    </w:p>
    <w:p>
      <w:pPr>
        <w:numPr>
          <w:ilvl w:val="0"/>
          <w:numId w:val="1003"/>
        </w:numPr>
      </w:pPr>
      <w:r>
        <w:t xml:space="preserve">almeno il 50% dei punti in ciascuna delle cinque componenti.</w:t>
      </w:r>
    </w:p>
    <w:p>
      <w:pPr>
        <w:pStyle w:val="FirstParagraph"/>
      </w:pPr>
      <w:r>
        <w:t xml:space="preserve">Il vincolo sulla singola componente evita che una grave carenza (es. nessuna produzione orale) sia compensata dalle altre prove. Il certificato riporta sempre il profilo per abilità, così il punto di forza e di debolezza del candidato restano visibili.</w:t>
      </w:r>
    </w:p>
    <w:p>
      <w:pPr>
        <w:pStyle w:val="BodyText"/>
      </w:pPr>
      <w:r>
        <w:rPr>
          <w:bCs/>
          <w:b/>
        </w:rPr>
        <w:t xml:space="preserve">Esito</w:t>
      </w:r>
      <w:r>
        <w:rPr>
          <w:bCs/>
          <w:b/>
        </w:rPr>
        <w:t xml:space="preserve"> </w:t>
      </w:r>
      <w:r>
        <w:rPr>
          <w:bCs/>
          <w:b/>
        </w:rPr>
        <w:t xml:space="preserve">“</w:t>
      </w:r>
      <w:r>
        <w:rPr>
          <w:bCs/>
          <w:b/>
        </w:rPr>
        <w:t xml:space="preserve">profilo parziale</w:t>
      </w:r>
      <w:r>
        <w:rPr>
          <w:bCs/>
          <w:b/>
        </w:rPr>
        <w:t xml:space="preserve">”</w:t>
      </w:r>
      <w:r>
        <w:rPr>
          <w:bCs/>
          <w:b/>
        </w:rPr>
        <w:t xml:space="preserve">.</w:t>
      </w:r>
      <w:r>
        <w:rPr>
          <w:bCs/>
          <w:b/>
        </w:rPr>
        <w:t xml:space="preserve"> </w:t>
      </w:r>
      <w:r>
        <w:t xml:space="preserve">Se il candidato raggiunge la soglia totale ma non il minimo in una componente, l’esame del livello non è superato; KAP può rilasciare un attestato di frequenza con il profilo ottenuto e indicazione delle abilità da consolidare.</w:t>
      </w:r>
    </w:p>
    <w:bookmarkEnd w:id="27"/>
    <w:bookmarkStart w:id="28" w:name="X18c8334f851038a848773811213cf26db0ae151"/>
    <w:p>
      <w:pPr>
        <w:pStyle w:val="Heading1"/>
      </w:pPr>
      <w:r>
        <w:t xml:space="preserve">8. Griglia di valutazione — produzione scritta</w:t>
      </w:r>
    </w:p>
    <w:p>
      <w:pPr>
        <w:pStyle w:val="FirstParagraph"/>
      </w:pPr>
      <w:r>
        <w:t xml:space="preserve">Ogni elaborato scritto è valutato su quattro criteri analitici. A ciascun criterio si assegna un punteggio da 0 a 5; il totale (max 20) costituisce il punteggio della componente.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Criterio</w:t>
            </w:r>
          </w:p>
        </w:tc>
        <w:tc>
          <w:tcPr/>
          <w:p>
            <w:pPr>
              <w:pStyle w:val="Compact"/>
              <w:jc w:val="left"/>
            </w:pPr>
            <w:r>
              <w:rPr>
                <w:bCs/>
                <w:b/>
              </w:rPr>
              <w:t xml:space="preserve">Cosa si valuta</w:t>
            </w:r>
          </w:p>
        </w:tc>
      </w:tr>
      <w:tr>
        <w:tc>
          <w:tcPr/>
          <w:p>
            <w:pPr>
              <w:pStyle w:val="Compact"/>
              <w:jc w:val="left"/>
            </w:pPr>
            <w:r>
              <w:t xml:space="preserve">Efficacia comunicativa / adeguatezza al compito</w:t>
            </w:r>
          </w:p>
        </w:tc>
        <w:tc>
          <w:tcPr/>
          <w:p>
            <w:pPr>
              <w:pStyle w:val="Compact"/>
              <w:jc w:val="left"/>
            </w:pPr>
            <w:r>
              <w:t xml:space="preserve">Il testo risponde alla consegna, alla situazione e al destinatario; le informazioni richieste ci sono tutte.</w:t>
            </w:r>
          </w:p>
        </w:tc>
      </w:tr>
      <w:tr>
        <w:tc>
          <w:tcPr/>
          <w:p>
            <w:pPr>
              <w:pStyle w:val="Compact"/>
              <w:jc w:val="left"/>
            </w:pPr>
            <w:r>
              <w:t xml:space="preserve">Coerenza e coesione</w:t>
            </w:r>
          </w:p>
        </w:tc>
        <w:tc>
          <w:tcPr/>
          <w:p>
            <w:pPr>
              <w:pStyle w:val="Compact"/>
              <w:jc w:val="left"/>
            </w:pPr>
            <w:r>
              <w:t xml:space="preserve">Le idee sono ordinate e collegate; uso adeguato di connettivi e punteggiatura per il livello.</w:t>
            </w:r>
          </w:p>
        </w:tc>
      </w:tr>
      <w:tr>
        <w:tc>
          <w:tcPr/>
          <w:p>
            <w:pPr>
              <w:pStyle w:val="Compact"/>
              <w:jc w:val="left"/>
            </w:pPr>
            <w:r>
              <w:t xml:space="preserve">Correttezza morfosintattica</w:t>
            </w:r>
          </w:p>
        </w:tc>
        <w:tc>
          <w:tcPr/>
          <w:p>
            <w:pPr>
              <w:pStyle w:val="Compact"/>
              <w:jc w:val="left"/>
            </w:pPr>
            <w:r>
              <w:t xml:space="preserve">Controllo delle strutture grammaticali atteso per il livello; gli errori non impediscono la comprensione.</w:t>
            </w:r>
          </w:p>
        </w:tc>
      </w:tr>
      <w:tr>
        <w:tc>
          <w:tcPr/>
          <w:p>
            <w:pPr>
              <w:pStyle w:val="Compact"/>
              <w:jc w:val="left"/>
            </w:pPr>
            <w:r>
              <w:t xml:space="preserve">Ricchezza e appropriatezza lessicale</w:t>
            </w:r>
          </w:p>
        </w:tc>
        <w:tc>
          <w:tcPr/>
          <w:p>
            <w:pPr>
              <w:pStyle w:val="Compact"/>
              <w:jc w:val="left"/>
            </w:pPr>
            <w:r>
              <w:t xml:space="preserve">Varietà e precisione del lessico adeguate al livello e al contesto (vita quotidiana / lavoro).</w:t>
            </w:r>
          </w:p>
        </w:tc>
      </w:tr>
    </w:tbl>
    <w:p>
      <w:pPr>
        <w:pStyle w:val="BodyText"/>
      </w:pPr>
      <w:r>
        <w:t xml:space="preserve">Scala descrittiva applicata a ciascun criterio:</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Punti</w:t>
            </w:r>
          </w:p>
        </w:tc>
        <w:tc>
          <w:tcPr/>
          <w:p>
            <w:pPr>
              <w:pStyle w:val="Compact"/>
              <w:jc w:val="left"/>
            </w:pPr>
            <w:r>
              <w:rPr>
                <w:bCs/>
                <w:b/>
              </w:rPr>
              <w:t xml:space="preserve">Descrittore</w:t>
            </w:r>
          </w:p>
        </w:tc>
      </w:tr>
      <w:tr>
        <w:tc>
          <w:tcPr/>
          <w:p>
            <w:pPr>
              <w:pStyle w:val="Compact"/>
              <w:jc w:val="left"/>
            </w:pPr>
            <w:r>
              <w:t xml:space="preserve">5</w:t>
            </w:r>
          </w:p>
        </w:tc>
        <w:tc>
          <w:tcPr/>
          <w:p>
            <w:pPr>
              <w:pStyle w:val="Compact"/>
              <w:jc w:val="left"/>
            </w:pPr>
            <w:r>
              <w:t xml:space="preserve">Pienamente adeguato al livello; padronanza sicura.</w:t>
            </w:r>
          </w:p>
        </w:tc>
      </w:tr>
      <w:tr>
        <w:tc>
          <w:tcPr/>
          <w:p>
            <w:pPr>
              <w:pStyle w:val="Compact"/>
              <w:jc w:val="left"/>
            </w:pPr>
            <w:r>
              <w:t xml:space="preserve">4</w:t>
            </w:r>
          </w:p>
        </w:tc>
        <w:tc>
          <w:tcPr/>
          <w:p>
            <w:pPr>
              <w:pStyle w:val="Compact"/>
              <w:jc w:val="left"/>
            </w:pPr>
            <w:r>
              <w:t xml:space="preserve">Adeguato; lievi imperfezioni che non disturbano.</w:t>
            </w:r>
          </w:p>
        </w:tc>
      </w:tr>
      <w:tr>
        <w:tc>
          <w:tcPr/>
          <w:p>
            <w:pPr>
              <w:pStyle w:val="Compact"/>
              <w:jc w:val="left"/>
            </w:pPr>
            <w:r>
              <w:t xml:space="preserve">3</w:t>
            </w:r>
          </w:p>
        </w:tc>
        <w:tc>
          <w:tcPr/>
          <w:p>
            <w:pPr>
              <w:pStyle w:val="Compact"/>
              <w:jc w:val="left"/>
            </w:pPr>
            <w:r>
              <w:t xml:space="preserve">Sufficiente; alcune incertezze ma compito raggiunto.</w:t>
            </w:r>
          </w:p>
        </w:tc>
      </w:tr>
      <w:tr>
        <w:tc>
          <w:tcPr/>
          <w:p>
            <w:pPr>
              <w:pStyle w:val="Compact"/>
              <w:jc w:val="left"/>
            </w:pPr>
            <w:r>
              <w:t xml:space="preserve">2</w:t>
            </w:r>
          </w:p>
        </w:tc>
        <w:tc>
          <w:tcPr/>
          <w:p>
            <w:pPr>
              <w:pStyle w:val="Compact"/>
              <w:jc w:val="left"/>
            </w:pPr>
            <w:r>
              <w:t xml:space="preserve">Parziale; il compito è solo in parte realizzato.</w:t>
            </w:r>
          </w:p>
        </w:tc>
      </w:tr>
      <w:tr>
        <w:tc>
          <w:tcPr/>
          <w:p>
            <w:pPr>
              <w:pStyle w:val="Compact"/>
              <w:jc w:val="left"/>
            </w:pPr>
            <w:r>
              <w:t xml:space="preserve">0–1</w:t>
            </w:r>
          </w:p>
        </w:tc>
        <w:tc>
          <w:tcPr/>
          <w:p>
            <w:pPr>
              <w:pStyle w:val="Compact"/>
              <w:jc w:val="left"/>
            </w:pPr>
            <w:r>
              <w:t xml:space="preserve">Insufficiente; compito non realizzato o incomprensibile.</w:t>
            </w:r>
          </w:p>
        </w:tc>
      </w:tr>
    </w:tbl>
    <w:bookmarkEnd w:id="28"/>
    <w:bookmarkStart w:id="29" w:name="X4d15c4f2bb4759e42d637d7dc3c5ee4c8f98234"/>
    <w:p>
      <w:pPr>
        <w:pStyle w:val="Heading1"/>
      </w:pPr>
      <w:r>
        <w:t xml:space="preserve">9. Griglia di valutazione — produzione e interazione orale</w:t>
      </w:r>
    </w:p>
    <w:p>
      <w:pPr>
        <w:pStyle w:val="FirstParagraph"/>
      </w:pPr>
      <w:r>
        <w:t xml:space="preserve">Il colloquio è condotto da un esaminatore e valutato su cinque criteri (0–5 ciascuno, max 25). Quando possibile sono presenti due esaminatori: uno conduce, uno valuta.</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Criterio</w:t>
            </w:r>
          </w:p>
        </w:tc>
        <w:tc>
          <w:tcPr/>
          <w:p>
            <w:pPr>
              <w:pStyle w:val="Compact"/>
              <w:jc w:val="left"/>
            </w:pPr>
            <w:r>
              <w:rPr>
                <w:bCs/>
                <w:b/>
              </w:rPr>
              <w:t xml:space="preserve">Cosa si valuta</w:t>
            </w:r>
          </w:p>
        </w:tc>
      </w:tr>
      <w:tr>
        <w:tc>
          <w:tcPr/>
          <w:p>
            <w:pPr>
              <w:pStyle w:val="Compact"/>
              <w:jc w:val="left"/>
            </w:pPr>
            <w:r>
              <w:t xml:space="preserve">Efficacia comunicativa e interazione</w:t>
            </w:r>
          </w:p>
        </w:tc>
        <w:tc>
          <w:tcPr/>
          <w:p>
            <w:pPr>
              <w:pStyle w:val="Compact"/>
              <w:jc w:val="left"/>
            </w:pPr>
            <w:r>
              <w:t xml:space="preserve">Sa avviare, mantenere e chiudere lo scambio; reagisce a domande e a imprevisti.</w:t>
            </w:r>
          </w:p>
        </w:tc>
      </w:tr>
      <w:tr>
        <w:tc>
          <w:tcPr/>
          <w:p>
            <w:pPr>
              <w:pStyle w:val="Compact"/>
              <w:jc w:val="left"/>
            </w:pPr>
            <w:r>
              <w:t xml:space="preserve">Fluenza</w:t>
            </w:r>
          </w:p>
        </w:tc>
        <w:tc>
          <w:tcPr/>
          <w:p>
            <w:pPr>
              <w:pStyle w:val="Compact"/>
              <w:jc w:val="left"/>
            </w:pPr>
            <w:r>
              <w:t xml:space="preserve">Parla con un ritmo adeguato al livello, senza pause eccessive.</w:t>
            </w:r>
          </w:p>
        </w:tc>
      </w:tr>
      <w:tr>
        <w:tc>
          <w:tcPr/>
          <w:p>
            <w:pPr>
              <w:pStyle w:val="Compact"/>
              <w:jc w:val="left"/>
            </w:pPr>
            <w:r>
              <w:t xml:space="preserve">Correttezza</w:t>
            </w:r>
          </w:p>
        </w:tc>
        <w:tc>
          <w:tcPr/>
          <w:p>
            <w:pPr>
              <w:pStyle w:val="Compact"/>
              <w:jc w:val="left"/>
            </w:pPr>
            <w:r>
              <w:t xml:space="preserve">Controllo grammaticale atteso per il livello.</w:t>
            </w:r>
          </w:p>
        </w:tc>
      </w:tr>
      <w:tr>
        <w:tc>
          <w:tcPr/>
          <w:p>
            <w:pPr>
              <w:pStyle w:val="Compact"/>
              <w:jc w:val="left"/>
            </w:pPr>
            <w:r>
              <w:t xml:space="preserve">Lessico</w:t>
            </w:r>
          </w:p>
        </w:tc>
        <w:tc>
          <w:tcPr/>
          <w:p>
            <w:pPr>
              <w:pStyle w:val="Compact"/>
              <w:jc w:val="left"/>
            </w:pPr>
            <w:r>
              <w:t xml:space="preserve">Ampiezza e precisione del vocabolario, anche di settore (lavoro).</w:t>
            </w:r>
          </w:p>
        </w:tc>
      </w:tr>
      <w:tr>
        <w:tc>
          <w:tcPr/>
          <w:p>
            <w:pPr>
              <w:pStyle w:val="Compact"/>
              <w:jc w:val="left"/>
            </w:pPr>
            <w:r>
              <w:t xml:space="preserve">Pronuncia e intonazione</w:t>
            </w:r>
          </w:p>
        </w:tc>
        <w:tc>
          <w:tcPr/>
          <w:p>
            <w:pPr>
              <w:pStyle w:val="Compact"/>
              <w:jc w:val="left"/>
            </w:pPr>
            <w:r>
              <w:t xml:space="preserve">Comprensibilità; pronuncia e intonazione non ostacolano la comunicazione.</w:t>
            </w:r>
          </w:p>
        </w:tc>
      </w:tr>
    </w:tbl>
    <w:p>
      <w:pPr>
        <w:pStyle w:val="BodyText"/>
      </w:pPr>
      <w:r>
        <w:t xml:space="preserve">Si applica la stessa scala 0–5 della produzione scritta. Il colloquio è audioregistrato (con consenso del candidato) per consentire revisione e controllo qualità.</w:t>
      </w:r>
    </w:p>
    <w:bookmarkEnd w:id="29"/>
    <w:bookmarkStart w:id="30" w:name="procedura-desame-e-sicurezza"/>
    <w:p>
      <w:pPr>
        <w:pStyle w:val="Heading1"/>
      </w:pPr>
      <w:r>
        <w:t xml:space="preserve">10. Procedura d’esame e sicurezza</w:t>
      </w:r>
    </w:p>
    <w:p>
      <w:pPr>
        <w:pStyle w:val="FirstParagraph"/>
      </w:pPr>
      <w:r>
        <w:t xml:space="preserve">Prima dell’esame:</w:t>
      </w:r>
    </w:p>
    <w:p>
      <w:pPr>
        <w:numPr>
          <w:ilvl w:val="0"/>
          <w:numId w:val="1004"/>
        </w:numPr>
      </w:pPr>
      <w:r>
        <w:t xml:space="preserve">Iscrizione con documento d’identità valido; verifica del livello tramite test di posizionamento.</w:t>
      </w:r>
    </w:p>
    <w:p>
      <w:pPr>
        <w:numPr>
          <w:ilvl w:val="0"/>
          <w:numId w:val="1004"/>
        </w:numPr>
      </w:pPr>
      <w:r>
        <w:t xml:space="preserve">Convocazione con sede, data, ora e materiale ammesso.</w:t>
      </w:r>
    </w:p>
    <w:p>
      <w:pPr>
        <w:pStyle w:val="FirstParagraph"/>
      </w:pPr>
      <w:r>
        <w:t xml:space="preserve">Durante l’esame:</w:t>
      </w:r>
    </w:p>
    <w:p>
      <w:pPr>
        <w:numPr>
          <w:ilvl w:val="0"/>
          <w:numId w:val="1005"/>
        </w:numPr>
      </w:pPr>
      <w:r>
        <w:t xml:space="preserve">Identificazione del candidato; sorveglianza costante in aula.</w:t>
      </w:r>
    </w:p>
    <w:p>
      <w:pPr>
        <w:numPr>
          <w:ilvl w:val="0"/>
          <w:numId w:val="1005"/>
        </w:numPr>
      </w:pPr>
      <w:r>
        <w:t xml:space="preserve">Materiali d’esame consegnati sigillati e ritirati al termine; impianto audio verificato per l’ascolto.</w:t>
      </w:r>
    </w:p>
    <w:p>
      <w:pPr>
        <w:numPr>
          <w:ilvl w:val="0"/>
          <w:numId w:val="1005"/>
        </w:numPr>
      </w:pPr>
      <w:r>
        <w:t xml:space="preserve">Divieto di strumenti elettronici e di materiali non autorizzati; tempi controllati e registrati.</w:t>
      </w:r>
    </w:p>
    <w:p>
      <w:pPr>
        <w:numPr>
          <w:ilvl w:val="0"/>
          <w:numId w:val="1005"/>
        </w:numPr>
      </w:pPr>
      <w:r>
        <w:t xml:space="preserve">Verbale di sessione firmato dalla commissione (presenze, orari, eventi anomali).</w:t>
      </w:r>
    </w:p>
    <w:p>
      <w:pPr>
        <w:pStyle w:val="FirstParagraph"/>
      </w:pPr>
      <w:r>
        <w:t xml:space="preserve">Dopo l’esame:</w:t>
      </w:r>
    </w:p>
    <w:p>
      <w:pPr>
        <w:numPr>
          <w:ilvl w:val="0"/>
          <w:numId w:val="1006"/>
        </w:numPr>
      </w:pPr>
      <w:r>
        <w:t xml:space="preserve">Correzione cieca delle prove (senza identità visibile del candidato).</w:t>
      </w:r>
    </w:p>
    <w:p>
      <w:pPr>
        <w:numPr>
          <w:ilvl w:val="0"/>
          <w:numId w:val="1006"/>
        </w:numPr>
      </w:pPr>
      <w:r>
        <w:t xml:space="preserve">Doppia correzione indipendente delle prove produttive; in caso di scarto rilevante interviene un terzo correttore.</w:t>
      </w:r>
    </w:p>
    <w:p>
      <w:pPr>
        <w:numPr>
          <w:ilvl w:val="0"/>
          <w:numId w:val="1006"/>
        </w:numPr>
      </w:pPr>
      <w:r>
        <w:t xml:space="preserve">Conservazione degli elaborati e delle registrazioni per un periodo definito (es. 5 anni) e nel rispetto della normativa sulla protezione dei dati.</w:t>
      </w:r>
    </w:p>
    <w:bookmarkEnd w:id="30"/>
    <w:bookmarkStart w:id="31" w:name="controllo-qualità-e-ancoraggio-al-qcer"/>
    <w:p>
      <w:pPr>
        <w:pStyle w:val="Heading1"/>
      </w:pPr>
      <w:r>
        <w:t xml:space="preserve">11. Controllo qualità e ancoraggio al QCER</w:t>
      </w:r>
    </w:p>
    <w:p>
      <w:pPr>
        <w:numPr>
          <w:ilvl w:val="0"/>
          <w:numId w:val="1007"/>
        </w:numPr>
      </w:pPr>
      <w:r>
        <w:t xml:space="preserve">Pretest: gli item nuovi sono provati su un campione prima dell’uso ufficiale; si analizzano facilità e capacità di discriminare i candidati.</w:t>
      </w:r>
    </w:p>
    <w:p>
      <w:pPr>
        <w:numPr>
          <w:ilvl w:val="0"/>
          <w:numId w:val="1007"/>
        </w:numPr>
      </w:pPr>
      <w:r>
        <w:t xml:space="preserve">Standard-setting: le soglie di livello sono fissate sul QCER con una procedura strutturata (es. metodo Angoff) e documentate.</w:t>
      </w:r>
    </w:p>
    <w:p>
      <w:pPr>
        <w:numPr>
          <w:ilvl w:val="0"/>
          <w:numId w:val="1007"/>
        </w:numPr>
      </w:pPr>
      <w:r>
        <w:t xml:space="preserve">Item di ancoraggio: presenti in più versioni dell’esame per mantenere stabile la difficoltà nel tempo.</w:t>
      </w:r>
    </w:p>
    <w:p>
      <w:pPr>
        <w:numPr>
          <w:ilvl w:val="0"/>
          <w:numId w:val="1007"/>
        </w:numPr>
      </w:pPr>
      <w:r>
        <w:t xml:space="preserve">Commissione d’esame e revisione periodica della banca item; ritiro degli item poco performanti.</w:t>
      </w:r>
    </w:p>
    <w:p>
      <w:pPr>
        <w:numPr>
          <w:ilvl w:val="0"/>
          <w:numId w:val="1007"/>
        </w:numPr>
      </w:pPr>
      <w:r>
        <w:t xml:space="preserve">Formazione e calibrazione degli esaminatori per la valutazione di scritto e orale (sessioni di standardizzazione su elaborati campione).</w:t>
      </w:r>
    </w:p>
    <w:bookmarkEnd w:id="31"/>
    <w:bookmarkStart w:id="32" w:name="il-certificato-kap"/>
    <w:p>
      <w:pPr>
        <w:pStyle w:val="Heading1"/>
      </w:pPr>
      <w:r>
        <w:t xml:space="preserve">12. Il certificato KAP</w:t>
      </w:r>
    </w:p>
    <w:p>
      <w:pPr>
        <w:pStyle w:val="FirstParagraph"/>
      </w:pPr>
      <w:r>
        <w:t xml:space="preserve">Al superamento, KAP rilascia un certificato contenente almeno:</w:t>
      </w:r>
    </w:p>
    <w:p>
      <w:pPr>
        <w:numPr>
          <w:ilvl w:val="0"/>
          <w:numId w:val="1008"/>
        </w:numPr>
      </w:pPr>
      <w:r>
        <w:t xml:space="preserve">Intestazione KAP e riferimento all’autorizzazione del Ministero dell’Istruzione albanese (numero e data).</w:t>
      </w:r>
    </w:p>
    <w:p>
      <w:pPr>
        <w:numPr>
          <w:ilvl w:val="0"/>
          <w:numId w:val="1008"/>
        </w:numPr>
      </w:pPr>
      <w:r>
        <w:t xml:space="preserve">Dati anagrafici del candidato e documento d’identità.</w:t>
      </w:r>
    </w:p>
    <w:p>
      <w:pPr>
        <w:numPr>
          <w:ilvl w:val="0"/>
          <w:numId w:val="1008"/>
        </w:numPr>
      </w:pPr>
      <w:r>
        <w:t xml:space="preserve">Livello QCER conseguito (A1–C1) e descrizione sintetica del livello.</w:t>
      </w:r>
    </w:p>
    <w:p>
      <w:pPr>
        <w:numPr>
          <w:ilvl w:val="0"/>
          <w:numId w:val="1008"/>
        </w:numPr>
      </w:pPr>
      <w:r>
        <w:t xml:space="preserve">Profilo per abilità (ascolto, lettura, uso della lingua, scritto, orale) e punteggio totale.</w:t>
      </w:r>
    </w:p>
    <w:p>
      <w:pPr>
        <w:numPr>
          <w:ilvl w:val="0"/>
          <w:numId w:val="1008"/>
        </w:numPr>
      </w:pPr>
      <w:r>
        <w:t xml:space="preserve">Data della sessione, sede, numero univoco del certificato e modalità di verifica (es. registro/QR).</w:t>
      </w:r>
    </w:p>
    <w:p>
      <w:pPr>
        <w:numPr>
          <w:ilvl w:val="0"/>
          <w:numId w:val="1008"/>
        </w:numPr>
      </w:pPr>
      <w:r>
        <w:t xml:space="preserve">Firma del responsabile/commissione e indicazione trasparente dell’ambito di validità (vedi §3).</w:t>
      </w:r>
    </w:p>
    <w:bookmarkEnd w:id="32"/>
    <w:bookmarkStart w:id="33" w:name="sessioni-e-registro"/>
    <w:p>
      <w:pPr>
        <w:pStyle w:val="Heading1"/>
      </w:pPr>
      <w:r>
        <w:t xml:space="preserve">13. Sessioni e registro</w:t>
      </w:r>
    </w:p>
    <w:p>
      <w:pPr>
        <w:pStyle w:val="FirstParagraph"/>
      </w:pPr>
      <w:r>
        <w:t xml:space="preserve">KAP programma sessioni d’esame periodiche per ciascun livello, di norma al termine dei percorsi (Standard 34h e FVG 64h) e in date calendarizzate. Ogni sessione è tracciata in un registro che collega candidato, livello, versione d’esame, esiti per componente e numero di certificato, a garanzia di tracciabilità e controllo qualità.</w:t>
      </w:r>
    </w:p>
    <w:bookmarkEnd w:id="33"/>
    <w:bookmarkStart w:id="39" w:name="appendice-esempio-di-prova-a2-estratto"/>
    <w:p>
      <w:pPr>
        <w:pStyle w:val="Heading1"/>
      </w:pPr>
      <w:r>
        <w:t xml:space="preserve">Appendice — Esempio di prova A2 (estratto)</w:t>
      </w:r>
    </w:p>
    <w:p>
      <w:pPr>
        <w:pStyle w:val="FirstParagraph"/>
      </w:pPr>
      <w:r>
        <w:rPr>
          <w:iCs/>
          <w:i/>
        </w:rPr>
        <w:t xml:space="preserve">Esempi originali, a scopo illustrativo, delle tipologie d’item del livello A2.</w:t>
      </w:r>
    </w:p>
    <w:bookmarkStart w:id="34" w:name="ascolto-scelta-multipla"/>
    <w:p>
      <w:pPr>
        <w:pStyle w:val="Heading2"/>
      </w:pPr>
      <w:r>
        <w:t xml:space="preserve">Ascolto (scelta multipla)</w:t>
      </w:r>
    </w:p>
    <w:p>
      <w:pPr>
        <w:pStyle w:val="FirstParagraph"/>
      </w:pPr>
      <w:r>
        <w:t xml:space="preserve">Dopo l’ascolto del dialogo</w:t>
      </w:r>
      <w:r>
        <w:t xml:space="preserve"> </w:t>
      </w:r>
      <w:r>
        <w:t xml:space="preserve">“</w:t>
      </w:r>
      <w:r>
        <w:t xml:space="preserve">Al colloquio</w:t>
      </w:r>
      <w:r>
        <w:t xml:space="preserve">”</w:t>
      </w:r>
      <w:r>
        <w:t xml:space="preserve">, scegli la risposta giusta:</w:t>
      </w:r>
    </w:p>
    <w:p>
      <w:pPr>
        <w:numPr>
          <w:ilvl w:val="0"/>
          <w:numId w:val="1009"/>
        </w:numPr>
        <w:pStyle w:val="Compact"/>
      </w:pPr>
      <w:r>
        <w:t xml:space="preserve">Il candidato cerca un lavoro: a) part-time   b) a tempo pieno   c) stagionale</w:t>
      </w:r>
    </w:p>
    <w:bookmarkEnd w:id="34"/>
    <w:bookmarkStart w:id="35" w:name="lettura-verofalso"/>
    <w:p>
      <w:pPr>
        <w:pStyle w:val="Heading2"/>
      </w:pPr>
      <w:r>
        <w:t xml:space="preserve">Lettura (vero/falso)</w:t>
      </w:r>
    </w:p>
    <w:p>
      <w:pPr>
        <w:pStyle w:val="FirstParagraph"/>
      </w:pPr>
      <w:r>
        <w:t xml:space="preserve">Leggi l’annuncio di lavoro e indica se l’affermazione è vera o falsa:</w:t>
      </w:r>
    </w:p>
    <w:p>
      <w:pPr>
        <w:pStyle w:val="BodyText"/>
      </w:pPr>
      <w:r>
        <w:t xml:space="preserve">“</w:t>
      </w:r>
      <w:r>
        <w:t xml:space="preserve">Si richiede esperienza di almeno un anno.</w:t>
      </w:r>
      <w:r>
        <w:t xml:space="preserve">”</w:t>
      </w:r>
      <w:r>
        <w:t xml:space="preserve"> </w:t>
      </w:r>
      <w:r>
        <w:t xml:space="preserve">→ Vero / Falso</w:t>
      </w:r>
    </w:p>
    <w:bookmarkEnd w:id="35"/>
    <w:bookmarkStart w:id="36" w:name="uso-della-lingua-cloze"/>
    <w:p>
      <w:pPr>
        <w:pStyle w:val="Heading2"/>
      </w:pPr>
      <w:r>
        <w:t xml:space="preserve">Uso della lingua (cloze)</w:t>
      </w:r>
    </w:p>
    <w:p>
      <w:pPr>
        <w:pStyle w:val="FirstParagraph"/>
      </w:pPr>
      <w:r>
        <w:t xml:space="preserve">Ieri ______ (andare) al Centro per l’Impiego e ______ (parlare) con un consulente.</w:t>
      </w:r>
    </w:p>
    <w:bookmarkEnd w:id="36"/>
    <w:bookmarkStart w:id="37" w:name="produzione-scritta"/>
    <w:p>
      <w:pPr>
        <w:pStyle w:val="Heading2"/>
      </w:pPr>
      <w:r>
        <w:t xml:space="preserve">Produzione scritta</w:t>
      </w:r>
    </w:p>
    <w:p>
      <w:pPr>
        <w:pStyle w:val="FirstParagraph"/>
      </w:pPr>
      <w:r>
        <w:t xml:space="preserve">Scrivi un breve messaggio (30–40 parole) per disdire un appuntamento e proporne un altro.</w:t>
      </w:r>
    </w:p>
    <w:bookmarkEnd w:id="37"/>
    <w:bookmarkStart w:id="38" w:name="produzione-orale-role-play"/>
    <w:p>
      <w:pPr>
        <w:pStyle w:val="Heading2"/>
      </w:pPr>
      <w:r>
        <w:t xml:space="preserve">Produzione orale (role-play)</w:t>
      </w:r>
    </w:p>
    <w:p>
      <w:pPr>
        <w:pStyle w:val="FirstParagraph"/>
      </w:pPr>
      <w:r>
        <w:t xml:space="preserve">Sei al primo giorno di tirocinio. Presentati al tutor: nome, provenienza, studi, perché sei qui. Rispondi a 2–3 domande.</w:t>
      </w:r>
    </w:p>
    <w:p>
      <w:pPr>
        <w:pStyle w:val="BodyText"/>
      </w:pPr>
      <w:r>
        <w:t xml:space="preserve">KAP — Specifica d’Esame di Certificazione di Italiano L2 ·</w:t>
      </w:r>
    </w:p>
    <w:bookmarkEnd w:id="38"/>
    <w:bookmarkEnd w:id="39"/>
    <w:sectPr>
      <w:pgSz w:h="16838" w:orient="portrait" w:w="11906"/>
      <w:pgMar w:bottom="1134" w:footer="708" w:gutter="0" w:header="708" w:left="1134" w:right="1134" w:top="1134"/>
      <w:pgNumType/>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15:restartNumberingAfterBreak="0" w:abstractNumId="1">
    <w:multiLevelType w:val="hybridMultilevel"/>
    <w:lvl w15:tentative="1" w:ilvl="0">
      <w:start w:val="1"/>
      <w:numFmt w:val="bullet"/>
      <w:lvlText w:val="●"/>
      <w:lvlJc w:val="left"/>
      <w:pPr>
        <w:ind w:hanging="360" w:left="720"/>
      </w:pPr>
    </w:lvl>
    <w:lvl w15:tentative="1" w:ilvl="1">
      <w:start w:val="1"/>
      <w:numFmt w:val="bullet"/>
      <w:lvlText w:val="○"/>
      <w:lvlJc w:val="left"/>
      <w:pPr>
        <w:ind w:hanging="360" w:left="1440"/>
      </w:pPr>
    </w:lvl>
    <w:lvl w15:tentative="1" w:ilvl="2">
      <w:start w:val="1"/>
      <w:numFmt w:val="bullet"/>
      <w:lvlText w:val="■"/>
      <w:lvlJc w:val="left"/>
      <w:pPr>
        <w:ind w:hanging="360" w:left="2160"/>
      </w:pPr>
    </w:lvl>
    <w:lvl w15:tentative="1" w:ilvl="3">
      <w:start w:val="1"/>
      <w:numFmt w:val="bullet"/>
      <w:lvlText w:val="●"/>
      <w:lvlJc w:val="left"/>
      <w:pPr>
        <w:ind w:hanging="360" w:left="2880"/>
      </w:pPr>
    </w:lvl>
    <w:lvl w15:tentative="1" w:ilvl="4">
      <w:start w:val="1"/>
      <w:numFmt w:val="bullet"/>
      <w:lvlText w:val="○"/>
      <w:lvlJc w:val="left"/>
      <w:pPr>
        <w:ind w:hanging="360" w:left="3600"/>
      </w:pPr>
    </w:lvl>
    <w:lvl w15:tentative="1" w:ilvl="5">
      <w:start w:val="1"/>
      <w:numFmt w:val="bullet"/>
      <w:lvlText w:val="■"/>
      <w:lvlJc w:val="left"/>
      <w:pPr>
        <w:ind w:hanging="360" w:left="4320"/>
      </w:pPr>
    </w:lvl>
    <w:lvl w15:tentative="1" w:ilvl="6">
      <w:start w:val="1"/>
      <w:numFmt w:val="bullet"/>
      <w:lvlText w:val="●"/>
      <w:lvlJc w:val="left"/>
      <w:pPr>
        <w:ind w:hanging="360" w:left="5040"/>
      </w:pPr>
    </w:lvl>
    <w:lvl w15:tentative="1" w:ilvl="7">
      <w:start w:val="1"/>
      <w:numFmt w:val="bullet"/>
      <w:lvlText w:val="●"/>
      <w:lvlJc w:val="left"/>
      <w:pPr>
        <w:ind w:hanging="360" w:left="5760"/>
      </w:pPr>
    </w:lvl>
    <w:lvl w15:tentative="1" w:ilvl="8">
      <w:start w:val="1"/>
      <w:numFmt w:val="bullet"/>
      <w:lvlText w:val="●"/>
      <w:lvlJc w:val="left"/>
      <w:pPr>
        <w:ind w:hanging="360" w:left="6480"/>
      </w:pPr>
    </w:lvl>
  </w:abstractNum>
  <w:abstractNum w15:restartNumberingAfterBreak="0" w:abstractNumId="2">
    <w:multiLevelType w:val="hybridMultilevel"/>
    <w:lvl w15:tentative="1" w:ilvl="0">
      <w:start w:val="1"/>
      <w:numFmt w:val="bullet"/>
      <w:lvlText w:val="•"/>
      <w:lvlJc w:val="left"/>
      <w:pPr>
        <w:ind w:hanging="260" w:left="520"/>
      </w:pPr>
    </w:lvl>
  </w:abstractNum>
  <w:abstractNum w15:restartNumberingAfterBreak="0" w:abstractNumId="3">
    <w:multiLevelType w:val="hybridMultilevel"/>
    <w:lvl w15:tentative="1" w:ilvl="0">
      <w:start w:val="1"/>
      <w:numFmt w:val="decimal"/>
      <w:lvlText w:val="%1."/>
      <w:lvlJc w:val="left"/>
      <w:pPr>
        <w:ind w:hanging="260" w:left="520"/>
      </w:p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s>
  <m:mathPr>
    <m:mathFont m:val="Cambria Math"/>
    <m:brkBin m:val="before"/>
    <m:brkBinSub m:val="--"/>
    <m:smallFrac m:val="0"/>
    <m:dispDef/>
    <m:lMargin m:val="0"/>
    <m:rMargin m:val="0"/>
    <m:wrapRight/>
    <m:intLim m:val="subSup"/>
    <m:naryLim m:val="undOvr"/>
  </m:mathPr>
  <w:themeFontLang w:val="en-US"/>
  <w:clrSchemeMapping w:accent1="accent1" w:accent2="accent2" w:accent3="accent3" w:accent4="accent4" w:accent5="accent5" w:accent6="accent6" w:bg1="light1" w:bg2="light2" w:followedHyperlink="followedHyperlink" w:hyperlink="hyperlink" w:t1="dark1" w:t2="dark2"/>
  <w:decimalSymbol w:val="."/>
  <w:listSeparator w:val=","/>
  <w:evenAndOddHeaders w:val="false"/>
  <w:compat>
    <w:compatSetting w:name="compatibilityMode" w:uri="http://schemas.microsoft.com/office/word" w:val="15"/>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cs="Verdana" w:eastAsia="Verdana" w:hAnsi="Verdana"/>
        <w:sz w:val="21"/>
        <w:szCs w:val="21"/>
      </w:rPr>
    </w:rPrDefault>
    <w:pPrDefault/>
  </w:docDefaults>
  <w:style w:styleId="Title" w:type="paragraph">
    <w:name w:val="Title"/>
    <w:basedOn w:val="Normal"/>
    <w:next w:val="Normal"/>
    <w:qFormat/>
    <w:rPr>
      <w:sz w:val="56"/>
      <w:szCs w:val="56"/>
    </w:rPr>
  </w:style>
  <w:style w:styleId="Heading1" w:type="paragraph">
    <w:name w:val="Heading 1"/>
    <w:basedOn w:val="Normal"/>
    <w:next w:val="Normal"/>
    <w:qFormat/>
    <w:rPr>
      <w:color w:val="2E74B5"/>
      <w:sz w:val="32"/>
      <w:szCs w:val="32"/>
    </w:rPr>
  </w:style>
  <w:style w:styleId="Heading2" w:type="paragraph">
    <w:name w:val="Heading 2"/>
    <w:basedOn w:val="Normal"/>
    <w:next w:val="Normal"/>
    <w:qFormat/>
    <w:rPr>
      <w:color w:val="2E74B5"/>
      <w:sz w:val="26"/>
      <w:szCs w:val="26"/>
    </w:rPr>
  </w:style>
  <w:style w:styleId="Heading3" w:type="paragraph">
    <w:name w:val="Heading 3"/>
    <w:basedOn w:val="Normal"/>
    <w:next w:val="Normal"/>
    <w:qFormat/>
    <w:rPr>
      <w:color w:val="1F4D78"/>
      <w:sz w:val="24"/>
      <w:szCs w:val="24"/>
    </w:rPr>
  </w:style>
  <w:style w:styleId="Heading4" w:type="paragraph">
    <w:name w:val="Heading 4"/>
    <w:basedOn w:val="Normal"/>
    <w:next w:val="Normal"/>
    <w:qFormat/>
    <w:rPr>
      <w:i/>
      <w:iCs/>
      <w:color w:val="2E74B5"/>
    </w:rPr>
  </w:style>
  <w:style w:styleId="Heading5" w:type="paragraph">
    <w:name w:val="Heading 5"/>
    <w:basedOn w:val="Normal"/>
    <w:next w:val="Normal"/>
    <w:qFormat/>
    <w:rPr>
      <w:color w:val="2E74B5"/>
    </w:rPr>
  </w:style>
  <w:style w:styleId="Heading6" w:type="paragraph">
    <w:name w:val="Heading 6"/>
    <w:basedOn w:val="Normal"/>
    <w:next w:val="Normal"/>
    <w:qFormat/>
    <w:rPr>
      <w:color w:val="1F4D78"/>
    </w:rPr>
  </w:style>
  <w:style w:styleId="Strong" w:type="paragraph">
    <w:name w:val="Strong"/>
    <w:basedOn w:val="Normal"/>
    <w:next w:val="Normal"/>
    <w:qFormat/>
    <w:rPr>
      <w:b/>
      <w:bCs/>
    </w:rPr>
  </w:style>
  <w:style w:styleId="ListParagraph" w:type="paragraph">
    <w:name w:val="List Paragraph"/>
    <w:basedOn w:val="Normal"/>
    <w:qFormat/>
  </w:style>
  <w:style w:styleId="Hyperlink" w:type="character">
    <w:name w:val="Hyperlink"/>
    <w:basedOn w:val="DefaultParagraphFont"/>
    <w:uiPriority w:val="99"/>
    <w:unhideWhenUsed/>
    <w:rPr>
      <w:color w:val="0563C1"/>
      <w:u w:val="single"/>
    </w:rPr>
  </w:style>
  <w:style w:styleId="FootnoteReference" w:type="character">
    <w:name w:val="footnote reference"/>
    <w:basedOn w:val="DefaultParagraphFont"/>
    <w:uiPriority w:val="99"/>
    <w:semiHidden/>
    <w:unhideWhenUsed/>
    <w:rPr>
      <w:vertAlign w:val="superscript"/>
    </w:rPr>
  </w:style>
  <w:style w:styleId="FootnoteText" w:type="paragraph">
    <w:name w:val="footnote text"/>
    <w:basedOn w:val="Normal"/>
    <w:link w:val="FootnoteTextChar"/>
    <w:uiPriority w:val="99"/>
    <w:semiHidden/>
    <w:unhideWhenUsed/>
    <w:pPr>
      <w:spacing w:after="0" w:line="240" w:lineRule="auto"/>
    </w:pPr>
    <w:rPr>
      <w:sz w:val="20"/>
      <w:szCs w:val="20"/>
    </w:rPr>
  </w:style>
  <w:style w:styleId="FootnoteTextChar" w:type="character">
    <w:name w:val="Footnote Text Char"/>
    <w:basedOn w:val="DefaultParagraphFont"/>
    <w:link w:val="FootnoteText"/>
    <w:uiPriority w:val="99"/>
    <w:semiHidden/>
    <w:unhideWhenUsed/>
    <w:rPr>
      <w:sz w:val="20"/>
      <w:szCs w:val="20"/>
    </w:rPr>
  </w:style>
  <w:style w:styleId="EndnoteReference" w:type="character">
    <w:name w:val="endnote reference"/>
    <w:basedOn w:val="DefaultParagraphFont"/>
    <w:uiPriority w:val="99"/>
    <w:semiHidden/>
    <w:unhideWhenUsed/>
    <w:rPr>
      <w:vertAlign w:val="superscript"/>
    </w:rPr>
  </w:style>
  <w:style w:styleId="EndnoteText" w:type="paragraph">
    <w:name w:val="endnote text"/>
    <w:basedOn w:val="Normal"/>
    <w:link w:val="EndnoteTextChar"/>
    <w:uiPriority w:val="99"/>
    <w:semiHidden/>
    <w:unhideWhenUsed/>
    <w:pPr>
      <w:spacing w:after="0" w:line="240" w:lineRule="auto"/>
    </w:pPr>
    <w:rPr>
      <w:sz w:val="20"/>
      <w:szCs w:val="20"/>
    </w:rPr>
  </w:style>
  <w:style w:styleId="EndnoteTextChar" w:type="character">
    <w:name w:val="Endnote Text Char"/>
    <w:basedOn w:val="DefaultParagraphFont"/>
    <w:link w:val="EndnoteText"/>
    <w:uiPriority w:val="99"/>
    <w:semiHidden/>
    <w:unhideWhenUsed/>
    <w:rPr>
      <w:sz w:val="20"/>
      <w:szCs w:val="20"/>
    </w:rPr>
  </w:style>
  <w:style w:styleId="Heading1" w:type="paragraph">
    <w:name w:val="Heading 1"/>
    <w:basedOn w:val="Normal"/>
    <w:next w:val="Normal"/>
    <w:qFormat/>
    <w:pPr>
      <w:spacing w:after="160" w:before="200"/>
      <w:outlineLvl w:val="0"/>
    </w:pPr>
    <w:rPr>
      <w:rFonts w:ascii="Verdana" w:cs="Verdana" w:eastAsia="Verdana" w:hAnsi="Verdana"/>
      <w:b/>
      <w:bCs/>
      <w:color w:val="155244"/>
      <w:sz w:val="30"/>
      <w:szCs w:val="30"/>
    </w:rPr>
  </w:style>
  <w:style w:styleId="Heading2" w:type="paragraph">
    <w:name w:val="Heading 2"/>
    <w:basedOn w:val="Normal"/>
    <w:next w:val="Normal"/>
    <w:qFormat/>
    <w:pPr>
      <w:spacing w:after="120" w:before="200"/>
      <w:outlineLvl w:val="1"/>
    </w:pPr>
    <w:rPr>
      <w:rFonts w:ascii="Verdana" w:cs="Verdana" w:eastAsia="Verdana" w:hAnsi="Verdana"/>
      <w:b/>
      <w:bCs/>
      <w:color w:val="1F6F5C"/>
      <w:sz w:val="25"/>
      <w:szCs w:val="25"/>
    </w:rPr>
  </w:style>
  <w:style w:styleId="Heading3" w:type="paragraph">
    <w:name w:val="Heading 3"/>
    <w:basedOn w:val="Normal"/>
    <w:next w:val="Normal"/>
    <w:qFormat/>
    <w:pPr>
      <w:spacing w:after="80" w:before="140"/>
      <w:outlineLvl w:val="2"/>
    </w:pPr>
    <w:rPr>
      <w:rFonts w:ascii="Verdana" w:cs="Verdana" w:eastAsia="Verdana" w:hAnsi="Verdana"/>
      <w:b/>
      <w:bCs/>
      <w:color w:val="E2603B"/>
      <w:sz w:val="22"/>
      <w:szCs w:val="22"/>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2026-06-24T14:59:16Z</dcterms:created>
  <dcterms:modified xsi:type="dcterms:W3CDTF">2026-06-24T14:59:16Z</dcterms:modified>
</cp:coreProperties>
</file>

<file path=docProps/custom.xml><?xml version="1.0" encoding="utf-8"?>
<Properties xmlns="http://schemas.openxmlformats.org/officeDocument/2006/custom-properties" xmlns:vt="http://schemas.openxmlformats.org/officeDocument/2006/docPropsVTypes"/>
</file>